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2E335" w14:textId="25D346E4" w:rsidR="00145211" w:rsidRDefault="00145211" w:rsidP="00145211">
      <w:pPr>
        <w:jc w:val="center"/>
      </w:pPr>
      <w:r w:rsidRPr="00145211">
        <w:rPr>
          <w:b/>
          <w:bCs/>
        </w:rPr>
        <w:t>OGŁOSZENIE OTWARTEGO KONKURSU OFERT NA DOFINANSOWANIE PRZEDSIĘWZIĘĆ PODEJMOWANYCH PRZEZ INSTYTUT WSPÓŁPRACY POLSKO-WĘGIERSKIEJ</w:t>
      </w:r>
    </w:p>
    <w:p w14:paraId="5A01A2B8" w14:textId="0A94B0CC" w:rsidR="00145211" w:rsidRDefault="00145211" w:rsidP="00145211">
      <w:pPr>
        <w:jc w:val="both"/>
      </w:pPr>
      <w:r w:rsidRPr="00145211">
        <w:t>Dyrektor Instytutu im. W. Felczaka, działając na podstawie § 2 ust. 2 pkt 2 rozporządzenia Prezesa Rady Ministrów z dnia 14 listopada 2018 r. w sprawie finansowania lub dofinansowania przez Instytut Współpracy Polsko-Węgierskiej im. Wacława Felczaka przedsięwzięć podejmowanych na rzecz współpracy polsko-węgierskiej (Dz. U. z 2018 r.  poz. 2168) ogłasza otwarty konkurs ofert na rok 202</w:t>
      </w:r>
      <w:r>
        <w:t>6</w:t>
      </w:r>
      <w:r w:rsidRPr="00145211">
        <w:t xml:space="preserve">. </w:t>
      </w:r>
    </w:p>
    <w:p w14:paraId="389AC3E8" w14:textId="245A7F3D" w:rsidR="00145211" w:rsidRDefault="00145211" w:rsidP="00145211">
      <w:pPr>
        <w:jc w:val="both"/>
      </w:pPr>
      <w:r w:rsidRPr="009F40D4">
        <w:rPr>
          <w:b/>
          <w:bCs/>
        </w:rPr>
        <w:t>1.</w:t>
      </w:r>
      <w:r w:rsidRPr="00145211">
        <w:t xml:space="preserve"> </w:t>
      </w:r>
      <w:r w:rsidRPr="00145211">
        <w:rPr>
          <w:b/>
          <w:bCs/>
        </w:rPr>
        <w:t>Forma wsparcia:</w:t>
      </w:r>
      <w:r w:rsidRPr="00145211">
        <w:t xml:space="preserve"> dofinansowanie. </w:t>
      </w:r>
    </w:p>
    <w:p w14:paraId="47577FCD" w14:textId="77777777" w:rsidR="00145211" w:rsidRDefault="00145211" w:rsidP="00145211">
      <w:pPr>
        <w:jc w:val="both"/>
      </w:pPr>
      <w:r w:rsidRPr="009F40D4">
        <w:rPr>
          <w:b/>
          <w:bCs/>
        </w:rPr>
        <w:t>2.</w:t>
      </w:r>
      <w:r w:rsidRPr="00145211">
        <w:t xml:space="preserve"> </w:t>
      </w:r>
      <w:r w:rsidRPr="00145211">
        <w:rPr>
          <w:b/>
          <w:bCs/>
        </w:rPr>
        <w:t>Zasady przyznawania wsparcia</w:t>
      </w:r>
      <w:r w:rsidRPr="00145211">
        <w:t xml:space="preserve">: </w:t>
      </w:r>
    </w:p>
    <w:p w14:paraId="4D953C74" w14:textId="01F32502" w:rsidR="00145211" w:rsidRDefault="00145211" w:rsidP="00145211">
      <w:pPr>
        <w:jc w:val="both"/>
      </w:pPr>
      <w:r w:rsidRPr="00145211">
        <w:t xml:space="preserve">O przyznanie wsparcia może ubiegać się każdy podmiot spełniający kryteria określone </w:t>
      </w:r>
      <w:r>
        <w:t xml:space="preserve">                 </w:t>
      </w:r>
      <w:r w:rsidRPr="00145211">
        <w:t>w art. 29 ust. 1 ustawy z dnia 8 lutego 20</w:t>
      </w:r>
      <w:r w:rsidR="00AB7A11">
        <w:t>1</w:t>
      </w:r>
      <w:r w:rsidRPr="00145211">
        <w:t xml:space="preserve">8 r. o Instytucie Współpracy Polsko Węgierskiej im. Wacława Felczaka (Dz. U. z 2024 r. poz. 251; dalej: „ustawa”),  tj. każdy podmiot prowadzący </w:t>
      </w:r>
      <w:r w:rsidRPr="00145211">
        <w:rPr>
          <w:u w:val="single"/>
        </w:rPr>
        <w:t>niezarobkową</w:t>
      </w:r>
      <w:r w:rsidRPr="00145211">
        <w:t xml:space="preserve"> działalność na terytorium Rzeczypospolitej Polskiej, Węgier, państwa członkowskiego Unii Europejskiej lub państwa członkowskiego Europejskiego Porozumienia o Wolnym Handlu (EFTA) - strony umowy o Europejskim Obszarze Gospodarczym. Wsparcia nie może udzielić:  </w:t>
      </w:r>
    </w:p>
    <w:p w14:paraId="4D7EF8D2" w14:textId="77777777" w:rsidR="00145211" w:rsidRDefault="00145211" w:rsidP="00145211">
      <w:pPr>
        <w:jc w:val="both"/>
      </w:pPr>
      <w:r w:rsidRPr="00145211">
        <w:t xml:space="preserve">1) osobie fizycznej skazanej prawomocnym wyrokiem sądu za przestępstwo składania fałszywych zeznań, przekupstwa, przeciwko wiarygodności dokumentów, mieniu, obrotowi gospodarczemu, obrotowi pieniędzmi i papierami wartościowymi, systemowi bankowemu, przestępstwo skarbowe albo inne związane z wykonywaniem działalności gospodarczej lub popełnione w celu osiągnięcia korzyści majątkowej; </w:t>
      </w:r>
    </w:p>
    <w:p w14:paraId="2CE3BCDE" w14:textId="77777777" w:rsidR="00145211" w:rsidRDefault="00145211" w:rsidP="00145211">
      <w:pPr>
        <w:jc w:val="both"/>
      </w:pPr>
      <w:r w:rsidRPr="00145211">
        <w:t xml:space="preserve">2) osobie prawnej lub jednostce organizacyjnej niebędącej osobą prawną, w której osoba będąca członkiem jej organów zarządzających lub wspólnikiem została skazana prawomocnym wyrokiem sądu za przestępstwo, o którym mowa w pkt 1; </w:t>
      </w:r>
    </w:p>
    <w:p w14:paraId="56B5E6D9" w14:textId="77777777" w:rsidR="00145211" w:rsidRDefault="00145211" w:rsidP="00145211">
      <w:pPr>
        <w:jc w:val="both"/>
      </w:pPr>
      <w:r w:rsidRPr="00145211">
        <w:t xml:space="preserve">3) podmiotowi, który: </w:t>
      </w:r>
    </w:p>
    <w:p w14:paraId="320F9ED2" w14:textId="14538D5A" w:rsidR="00145211" w:rsidRDefault="00145211" w:rsidP="00961609">
      <w:pPr>
        <w:ind w:left="567" w:hanging="425"/>
        <w:jc w:val="both"/>
      </w:pPr>
      <w:r w:rsidRPr="00145211">
        <w:t xml:space="preserve">a) </w:t>
      </w:r>
      <w:r w:rsidR="00961609">
        <w:t xml:space="preserve">   </w:t>
      </w:r>
      <w:r w:rsidRPr="00145211">
        <w:t xml:space="preserve">posiada zaległości z tytułu należności publicznoprawnych lub </w:t>
      </w:r>
    </w:p>
    <w:p w14:paraId="4204EC6B" w14:textId="77777777" w:rsidR="00145211" w:rsidRDefault="00145211" w:rsidP="00961609">
      <w:pPr>
        <w:ind w:left="567" w:hanging="425"/>
        <w:jc w:val="both"/>
      </w:pPr>
      <w:r w:rsidRPr="00145211">
        <w:t xml:space="preserve">b) pozostaje pod zarządem komisarycznym, znajduje się w toku likwidacji, postępowania upadłościowego lub postępowania restrukturyzacyjnego, lub </w:t>
      </w:r>
    </w:p>
    <w:p w14:paraId="761D6408" w14:textId="2F8BE198" w:rsidR="00145211" w:rsidRDefault="00145211" w:rsidP="00961609">
      <w:pPr>
        <w:ind w:left="567" w:hanging="425"/>
        <w:jc w:val="both"/>
      </w:pPr>
      <w:r w:rsidRPr="00145211">
        <w:t xml:space="preserve">c) </w:t>
      </w:r>
      <w:r w:rsidR="00961609">
        <w:t xml:space="preserve">  </w:t>
      </w:r>
      <w:r w:rsidRPr="00145211">
        <w:t xml:space="preserve">w okresie trzech lat przed dniem złożenia wniosku o udzielenie wsparcia naruszył </w:t>
      </w:r>
      <w:r>
        <w:t xml:space="preserve">                         </w:t>
      </w:r>
      <w:r w:rsidRPr="00145211">
        <w:t xml:space="preserve">w sposób istotny umowę zawartą z Instytutem. </w:t>
      </w:r>
    </w:p>
    <w:p w14:paraId="13323745" w14:textId="77777777" w:rsidR="00145211" w:rsidRDefault="00145211" w:rsidP="00145211">
      <w:pPr>
        <w:jc w:val="both"/>
      </w:pPr>
      <w:r w:rsidRPr="009F40D4">
        <w:rPr>
          <w:b/>
          <w:bCs/>
        </w:rPr>
        <w:t>3.</w:t>
      </w:r>
      <w:r w:rsidRPr="00145211">
        <w:t xml:space="preserve"> </w:t>
      </w:r>
      <w:r w:rsidRPr="00145211">
        <w:rPr>
          <w:b/>
          <w:bCs/>
        </w:rPr>
        <w:t>Obszary tematyczne przedsięwzięć</w:t>
      </w:r>
      <w:r w:rsidRPr="00145211">
        <w:t xml:space="preserve">: </w:t>
      </w:r>
    </w:p>
    <w:p w14:paraId="00608E49" w14:textId="6725FEA7" w:rsidR="00145211" w:rsidRPr="00145211" w:rsidRDefault="009F40D4" w:rsidP="009F40D4">
      <w:pPr>
        <w:numPr>
          <w:ilvl w:val="0"/>
          <w:numId w:val="1"/>
        </w:numPr>
        <w:ind w:left="284" w:hanging="284"/>
        <w:jc w:val="both"/>
      </w:pPr>
      <w:r>
        <w:t>w</w:t>
      </w:r>
      <w:r w:rsidR="00145211" w:rsidRPr="00145211">
        <w:t>alk</w:t>
      </w:r>
      <w:r>
        <w:t>a</w:t>
      </w:r>
      <w:r w:rsidR="00145211" w:rsidRPr="00145211">
        <w:t xml:space="preserve"> z populizmem oraz reform demokratyzacyjnych na Węgrzech</w:t>
      </w:r>
      <w:r>
        <w:t>;</w:t>
      </w:r>
    </w:p>
    <w:p w14:paraId="133F3AAC" w14:textId="229DED2B" w:rsidR="00145211" w:rsidRPr="00145211" w:rsidRDefault="009F40D4" w:rsidP="009F40D4">
      <w:pPr>
        <w:numPr>
          <w:ilvl w:val="0"/>
          <w:numId w:val="1"/>
        </w:numPr>
        <w:ind w:left="284" w:hanging="284"/>
        <w:jc w:val="both"/>
      </w:pPr>
      <w:r>
        <w:t>w</w:t>
      </w:r>
      <w:r w:rsidR="00145211" w:rsidRPr="00145211">
        <w:t>zmacniani</w:t>
      </w:r>
      <w:r>
        <w:t>e</w:t>
      </w:r>
      <w:r w:rsidR="00145211" w:rsidRPr="00145211">
        <w:t xml:space="preserve"> konkurencyjności oraz bezpieczeństwa strategicznie istotnych obszarów gospodarki, takich jak energetyka, infrastruktura</w:t>
      </w:r>
      <w:r>
        <w:t>;</w:t>
      </w:r>
    </w:p>
    <w:p w14:paraId="7BBA9C25" w14:textId="32480C5E" w:rsidR="00145211" w:rsidRPr="00145211" w:rsidRDefault="009F40D4" w:rsidP="009F40D4">
      <w:pPr>
        <w:numPr>
          <w:ilvl w:val="0"/>
          <w:numId w:val="1"/>
        </w:numPr>
        <w:ind w:left="284" w:hanging="284"/>
        <w:jc w:val="both"/>
      </w:pPr>
      <w:r>
        <w:lastRenderedPageBreak/>
        <w:t>p</w:t>
      </w:r>
      <w:r w:rsidR="00145211" w:rsidRPr="00145211">
        <w:t>owstrzymywani</w:t>
      </w:r>
      <w:r>
        <w:t>e</w:t>
      </w:r>
      <w:r w:rsidR="00145211" w:rsidRPr="00145211">
        <w:t xml:space="preserve"> wpływów Rosji na obszarze Europy Środkowej, w tym Węgier i Polski</w:t>
      </w:r>
      <w:r>
        <w:t>;</w:t>
      </w:r>
    </w:p>
    <w:p w14:paraId="41052079" w14:textId="0F75FDF2" w:rsidR="00145211" w:rsidRPr="00145211" w:rsidRDefault="009F40D4" w:rsidP="009F40D4">
      <w:pPr>
        <w:numPr>
          <w:ilvl w:val="0"/>
          <w:numId w:val="1"/>
        </w:numPr>
        <w:ind w:left="284" w:hanging="284"/>
        <w:jc w:val="both"/>
      </w:pPr>
      <w:r>
        <w:t>w</w:t>
      </w:r>
      <w:r w:rsidR="00145211" w:rsidRPr="00145211">
        <w:t>zmacniani</w:t>
      </w:r>
      <w:r>
        <w:t>e</w:t>
      </w:r>
      <w:r w:rsidR="00145211" w:rsidRPr="00145211">
        <w:t xml:space="preserve"> wolności słowa i wolnych mediów</w:t>
      </w:r>
      <w:r>
        <w:t>;</w:t>
      </w:r>
    </w:p>
    <w:p w14:paraId="7CBB96B3" w14:textId="7EA06B13" w:rsidR="00145211" w:rsidRPr="00145211" w:rsidRDefault="009F40D4" w:rsidP="009F40D4">
      <w:pPr>
        <w:numPr>
          <w:ilvl w:val="0"/>
          <w:numId w:val="1"/>
        </w:numPr>
        <w:ind w:left="284" w:hanging="284"/>
        <w:jc w:val="both"/>
      </w:pPr>
      <w:r>
        <w:t>p</w:t>
      </w:r>
      <w:r w:rsidR="00145211" w:rsidRPr="00145211">
        <w:t>romowani</w:t>
      </w:r>
      <w:r>
        <w:t>e</w:t>
      </w:r>
      <w:r w:rsidR="00145211" w:rsidRPr="00145211">
        <w:t xml:space="preserve"> korzyści z członkostwa Polski i Węgier w Unii Europejskiej</w:t>
      </w:r>
      <w:r>
        <w:t>;</w:t>
      </w:r>
    </w:p>
    <w:p w14:paraId="43913B93" w14:textId="74F1C63B" w:rsidR="00145211" w:rsidRPr="00145211" w:rsidRDefault="009F40D4" w:rsidP="009F40D4">
      <w:pPr>
        <w:numPr>
          <w:ilvl w:val="0"/>
          <w:numId w:val="1"/>
        </w:numPr>
        <w:ind w:left="284" w:hanging="284"/>
        <w:jc w:val="both"/>
      </w:pPr>
      <w:r>
        <w:t>w</w:t>
      </w:r>
      <w:r w:rsidR="00145211" w:rsidRPr="00145211">
        <w:t>alk</w:t>
      </w:r>
      <w:r>
        <w:t>a</w:t>
      </w:r>
      <w:r w:rsidR="00145211" w:rsidRPr="00145211">
        <w:t xml:space="preserve"> z propagandą i dezinformacją w przestrzeni publicznej Polski i Węgier</w:t>
      </w:r>
      <w:r>
        <w:t>;</w:t>
      </w:r>
    </w:p>
    <w:p w14:paraId="35A75BA2" w14:textId="597785C8" w:rsidR="00145211" w:rsidRPr="00145211" w:rsidRDefault="009F40D4" w:rsidP="009F40D4">
      <w:pPr>
        <w:numPr>
          <w:ilvl w:val="0"/>
          <w:numId w:val="1"/>
        </w:numPr>
        <w:ind w:left="284" w:hanging="284"/>
        <w:jc w:val="both"/>
      </w:pPr>
      <w:r>
        <w:t>w</w:t>
      </w:r>
      <w:r w:rsidR="00145211" w:rsidRPr="00145211">
        <w:t>spierani</w:t>
      </w:r>
      <w:r>
        <w:t>e</w:t>
      </w:r>
      <w:r w:rsidR="00145211" w:rsidRPr="00145211">
        <w:t xml:space="preserve"> Ukrainy w procesie integracji ze strukturami euroatlantyckimi</w:t>
      </w:r>
      <w:r>
        <w:t>;</w:t>
      </w:r>
      <w:r w:rsidR="00145211" w:rsidRPr="00145211">
        <w:t xml:space="preserve"> </w:t>
      </w:r>
    </w:p>
    <w:p w14:paraId="70731889" w14:textId="6DDCF32F" w:rsidR="00145211" w:rsidRPr="00145211" w:rsidRDefault="009F40D4" w:rsidP="009F40D4">
      <w:pPr>
        <w:numPr>
          <w:ilvl w:val="0"/>
          <w:numId w:val="1"/>
        </w:numPr>
        <w:ind w:left="284" w:hanging="284"/>
        <w:jc w:val="both"/>
      </w:pPr>
      <w:r>
        <w:t>w</w:t>
      </w:r>
      <w:r w:rsidR="00145211" w:rsidRPr="00145211">
        <w:t>zmacniani</w:t>
      </w:r>
      <w:r>
        <w:t>e</w:t>
      </w:r>
      <w:r w:rsidR="00145211" w:rsidRPr="00145211">
        <w:t xml:space="preserve"> rządów prawa i przestrzeganie swobód demokratycznych na Węgrzech </w:t>
      </w:r>
      <w:r>
        <w:t xml:space="preserve">                  </w:t>
      </w:r>
      <w:r w:rsidR="00145211" w:rsidRPr="00145211">
        <w:t>i Polsce</w:t>
      </w:r>
      <w:r>
        <w:t>;</w:t>
      </w:r>
    </w:p>
    <w:p w14:paraId="0A8132F0" w14:textId="07C9A562" w:rsidR="00145211" w:rsidRPr="00145211" w:rsidRDefault="00AB7A11" w:rsidP="009F40D4">
      <w:pPr>
        <w:numPr>
          <w:ilvl w:val="0"/>
          <w:numId w:val="1"/>
        </w:numPr>
        <w:ind w:left="284" w:hanging="284"/>
        <w:jc w:val="both"/>
      </w:pPr>
      <w:r>
        <w:t>promowanie współpracy w zakresie wspólnych przedsięwzięć o charakterze kulturalnym i społecznym</w:t>
      </w:r>
      <w:r w:rsidR="009F40D4">
        <w:t>.</w:t>
      </w:r>
    </w:p>
    <w:p w14:paraId="5BFE3998" w14:textId="198BDBB6" w:rsidR="00145211" w:rsidRDefault="00145211" w:rsidP="00145211">
      <w:pPr>
        <w:jc w:val="both"/>
      </w:pPr>
      <w:r w:rsidRPr="009F40D4">
        <w:rPr>
          <w:b/>
          <w:bCs/>
        </w:rPr>
        <w:t>4.</w:t>
      </w:r>
      <w:r w:rsidRPr="00145211">
        <w:t xml:space="preserve"> </w:t>
      </w:r>
      <w:r w:rsidRPr="00145211">
        <w:rPr>
          <w:b/>
          <w:bCs/>
        </w:rPr>
        <w:t>Termin i warunki realizacji przedsięwzięcia</w:t>
      </w:r>
      <w:r w:rsidRPr="00145211">
        <w:t xml:space="preserve">: </w:t>
      </w:r>
    </w:p>
    <w:p w14:paraId="7DF0555B" w14:textId="77777777" w:rsidR="00145211" w:rsidRDefault="00145211" w:rsidP="00145211">
      <w:pPr>
        <w:jc w:val="both"/>
      </w:pPr>
      <w:r w:rsidRPr="00145211">
        <w:t xml:space="preserve">Przedsięwzięcie należy rozpocząć w terminie nie wcześniej niż od dnia zawarcia umowy </w:t>
      </w:r>
      <w:r>
        <w:t xml:space="preserve">                 </w:t>
      </w:r>
      <w:r w:rsidRPr="00145211">
        <w:t>i zakończyć nie później niż do dnia 31 grudnia 202</w:t>
      </w:r>
      <w:r>
        <w:t>6</w:t>
      </w:r>
      <w:r w:rsidRPr="00145211">
        <w:t xml:space="preserve"> r. Warunki realizacji przedsięwzięcia określa regulamin konkursu. </w:t>
      </w:r>
    </w:p>
    <w:p w14:paraId="22953096" w14:textId="36345525" w:rsidR="00145211" w:rsidRDefault="00145211" w:rsidP="00145211">
      <w:pPr>
        <w:jc w:val="both"/>
      </w:pPr>
      <w:r w:rsidRPr="009F40D4">
        <w:rPr>
          <w:b/>
          <w:bCs/>
        </w:rPr>
        <w:t>5.</w:t>
      </w:r>
      <w:r w:rsidRPr="00145211">
        <w:t xml:space="preserve"> Na realizację konkursu Dyrektor Instytutu planuje przekazać środki finansowe </w:t>
      </w:r>
      <w:r>
        <w:t xml:space="preserve">                              </w:t>
      </w:r>
      <w:r w:rsidRPr="00145211">
        <w:t>w wysokości</w:t>
      </w:r>
      <w:r w:rsidR="00310AE8">
        <w:t xml:space="preserve"> 590</w:t>
      </w:r>
      <w:r w:rsidRPr="00145211">
        <w:t xml:space="preserve">.000,00 zł. </w:t>
      </w:r>
    </w:p>
    <w:p w14:paraId="4F41F656" w14:textId="77777777" w:rsidR="00145211" w:rsidRDefault="00145211" w:rsidP="00145211">
      <w:pPr>
        <w:jc w:val="both"/>
      </w:pPr>
      <w:r w:rsidRPr="009F40D4">
        <w:rPr>
          <w:b/>
          <w:bCs/>
        </w:rPr>
        <w:t>6.</w:t>
      </w:r>
      <w:r w:rsidRPr="00145211">
        <w:t xml:space="preserve"> </w:t>
      </w:r>
      <w:r w:rsidRPr="00145211">
        <w:rPr>
          <w:b/>
          <w:bCs/>
        </w:rPr>
        <w:t>Sposób, miejsce i termin składania ofert</w:t>
      </w:r>
      <w:r w:rsidRPr="00145211">
        <w:t xml:space="preserve">: </w:t>
      </w:r>
    </w:p>
    <w:p w14:paraId="38CA3887" w14:textId="3F416CD4" w:rsidR="00145211" w:rsidRDefault="00145211" w:rsidP="00145211">
      <w:pPr>
        <w:jc w:val="both"/>
      </w:pPr>
      <w:r w:rsidRPr="00145211">
        <w:t xml:space="preserve">Wniosek należy złożyć w terminie do dnia </w:t>
      </w:r>
      <w:r w:rsidR="00AB7A11">
        <w:t xml:space="preserve">22 maja </w:t>
      </w:r>
      <w:r w:rsidRPr="00145211">
        <w:t>202</w:t>
      </w:r>
      <w:r w:rsidR="00310AE8">
        <w:t>6</w:t>
      </w:r>
      <w:r w:rsidRPr="00145211">
        <w:t xml:space="preserve"> r.  Prawidłowo przygotowany </w:t>
      </w:r>
      <w:r w:rsidR="00AB7A11">
        <w:t xml:space="preserve">                        </w:t>
      </w:r>
      <w:r w:rsidRPr="00145211">
        <w:t xml:space="preserve">i wypełniony wniosek, wraz z wymaganymi załącznikami, należy złożyć na formularzu wniosku załączonym do niniejszego ogłoszenia. Wnioski złożone na formularzu innym niż wymagany niniejszym ogłoszeniem nie będą podlegać weryfikacji.  Prawidłowe złożenie wniosku musi nastąpić za pośrednictwem:  </w:t>
      </w:r>
    </w:p>
    <w:p w14:paraId="09460BE8" w14:textId="31297FFA" w:rsidR="00145211" w:rsidRPr="00961609" w:rsidRDefault="00145211" w:rsidP="00961609">
      <w:pPr>
        <w:pStyle w:val="Akapitzlist"/>
        <w:numPr>
          <w:ilvl w:val="0"/>
          <w:numId w:val="3"/>
        </w:numPr>
        <w:jc w:val="both"/>
        <w:textAlignment w:val="baseline"/>
      </w:pPr>
      <w:r w:rsidRPr="00145211">
        <w:t xml:space="preserve">Elektronicznej Skrzynki Podawczej Instytutu na platformie ePUAP </w:t>
      </w:r>
      <w:r w:rsidR="00961609">
        <w:t xml:space="preserve">– </w:t>
      </w:r>
      <w:r w:rsidRPr="00145211">
        <w:t>adres Elektronicznej Skrzynki Podawczej: /IWPW/domyslna</w:t>
      </w:r>
      <w:r w:rsidR="00961609">
        <w:t xml:space="preserve"> lub </w:t>
      </w:r>
      <w:r w:rsidR="00961609" w:rsidRPr="00961609">
        <w:t>na skrzynkę e-Doręczeń</w:t>
      </w:r>
      <w:r w:rsidR="00961609" w:rsidRPr="00961609">
        <w:rPr>
          <w:rFonts w:ascii="Open Sans" w:eastAsia="Times New Roman" w:hAnsi="Open Sans" w:cs="Open Sans"/>
          <w:color w:val="1B1B1B"/>
          <w:kern w:val="0"/>
          <w:lang w:eastAsia="pl-PL"/>
          <w14:ligatures w14:val="none"/>
        </w:rPr>
        <w:br/>
        <w:t>AE:PL-62594-90131-VATAU-15</w:t>
      </w:r>
      <w:r w:rsidRPr="00145211">
        <w:t xml:space="preserve">; </w:t>
      </w:r>
    </w:p>
    <w:p w14:paraId="765CB9B5" w14:textId="1BD4230D" w:rsidR="00310AE8" w:rsidRDefault="00145211" w:rsidP="00961609">
      <w:pPr>
        <w:ind w:firstLine="426"/>
        <w:jc w:val="both"/>
      </w:pPr>
      <w:r w:rsidRPr="00145211">
        <w:t xml:space="preserve">2) </w:t>
      </w:r>
      <w:r w:rsidR="00961609">
        <w:t xml:space="preserve">  </w:t>
      </w:r>
      <w:r w:rsidRPr="00145211">
        <w:t xml:space="preserve">poczty elektronicznej na adres: </w:t>
      </w:r>
      <w:hyperlink r:id="rId5" w:history="1">
        <w:r w:rsidRPr="00B71B31">
          <w:rPr>
            <w:rStyle w:val="Hipercze"/>
          </w:rPr>
          <w:t>wnioski@kurier.plus</w:t>
        </w:r>
      </w:hyperlink>
      <w:r w:rsidRPr="00B71B31">
        <w:t xml:space="preserve"> </w:t>
      </w:r>
      <w:r w:rsidR="00310AE8" w:rsidRPr="00B71B31">
        <w:t>;</w:t>
      </w:r>
    </w:p>
    <w:p w14:paraId="64C19A01" w14:textId="7CF0117A" w:rsidR="00145211" w:rsidRDefault="00145211" w:rsidP="00961609">
      <w:pPr>
        <w:ind w:left="709" w:hanging="283"/>
        <w:jc w:val="both"/>
      </w:pPr>
      <w:r w:rsidRPr="00145211">
        <w:t xml:space="preserve">3) osobiście lub pocztą na adres:  Instytut Współpracy Polsko-Węgierskiej </w:t>
      </w:r>
      <w:r w:rsidR="00961609">
        <w:t xml:space="preserve">                                 </w:t>
      </w:r>
      <w:r w:rsidRPr="00145211">
        <w:t xml:space="preserve">im. Wacława Felczaka ul. Seweryna Goszczyńskiego 12 (02-616 Warszawa) </w:t>
      </w:r>
      <w:r w:rsidR="00961609">
        <w:t xml:space="preserve">                            </w:t>
      </w:r>
      <w:r w:rsidRPr="00145211">
        <w:t>z dopiskiem: „Konkurs na realizację przedsięwzięć podejmowanych na rzecz współpracy polsko-węgierskiej w roku 202</w:t>
      </w:r>
      <w:r w:rsidR="009F40D4">
        <w:t>6</w:t>
      </w:r>
      <w:r w:rsidRPr="00145211">
        <w:t xml:space="preserve">”. </w:t>
      </w:r>
    </w:p>
    <w:p w14:paraId="4A10F273" w14:textId="15575721" w:rsidR="00145211" w:rsidRDefault="00145211" w:rsidP="00145211">
      <w:pPr>
        <w:jc w:val="both"/>
      </w:pPr>
      <w:r w:rsidRPr="00145211">
        <w:t>Instytut pracuje w dni robocze od poniedziałku do piątku w godzinach 8:</w:t>
      </w:r>
      <w:r w:rsidR="00AB7A11">
        <w:t>30</w:t>
      </w:r>
      <w:r w:rsidRPr="00145211">
        <w:t>-16:</w:t>
      </w:r>
      <w:r w:rsidR="00B71B31">
        <w:t>00</w:t>
      </w:r>
      <w:r w:rsidRPr="00145211">
        <w:t xml:space="preserve">. Decyduje data wpływu wniosku. Wniosek wraz z załącznikami należy podpisać profilem zaufanym, podpisem osobistym lub elektronicznym podpisem kwalifikowanym </w:t>
      </w:r>
      <w:r>
        <w:t xml:space="preserve">                                </w:t>
      </w:r>
      <w:r w:rsidRPr="00145211">
        <w:t xml:space="preserve">(w przypadku złożenia oferty w sposób określony w pkt 6 ppkt 1 i 2). </w:t>
      </w:r>
    </w:p>
    <w:p w14:paraId="44FC61E6" w14:textId="47E1A853" w:rsidR="00145211" w:rsidRDefault="00145211" w:rsidP="00145211">
      <w:pPr>
        <w:jc w:val="both"/>
      </w:pPr>
      <w:r w:rsidRPr="00145211">
        <w:lastRenderedPageBreak/>
        <w:t xml:space="preserve">Konieczne, jest podpisanie wniosku oraz załączników przez osoby upoważnione do reprezentowania wnioskodawcy (zgodnie z KRS lub innym rejestrem lub zgodnie </w:t>
      </w:r>
      <w:r w:rsidR="009F40D4">
        <w:t xml:space="preserve">                                    </w:t>
      </w:r>
      <w:r w:rsidRPr="00145211">
        <w:t xml:space="preserve">z pełnomocnictwem). </w:t>
      </w:r>
    </w:p>
    <w:p w14:paraId="5E316933" w14:textId="77777777" w:rsidR="00145211" w:rsidRDefault="00145211" w:rsidP="00145211">
      <w:pPr>
        <w:jc w:val="both"/>
      </w:pPr>
      <w:r w:rsidRPr="009F40D4">
        <w:rPr>
          <w:b/>
          <w:bCs/>
        </w:rPr>
        <w:t>7.</w:t>
      </w:r>
      <w:r w:rsidRPr="00145211">
        <w:t xml:space="preserve"> </w:t>
      </w:r>
      <w:r w:rsidRPr="00145211">
        <w:rPr>
          <w:b/>
          <w:bCs/>
        </w:rPr>
        <w:t>Tryb i kryteria stosowane przy dokonywaniu wyboru wniosków</w:t>
      </w:r>
      <w:r w:rsidRPr="00145211">
        <w:t xml:space="preserve">: </w:t>
      </w:r>
    </w:p>
    <w:p w14:paraId="42B0BD66" w14:textId="77777777" w:rsidR="00145211" w:rsidRDefault="00145211" w:rsidP="00145211">
      <w:pPr>
        <w:jc w:val="both"/>
      </w:pPr>
      <w:r w:rsidRPr="00145211">
        <w:t xml:space="preserve">Tryb i kryteria stosowane przy wyborze wniosku określa regulamin konkursu.  </w:t>
      </w:r>
    </w:p>
    <w:p w14:paraId="7BA44EAA" w14:textId="77777777" w:rsidR="00145211" w:rsidRDefault="00145211" w:rsidP="00145211">
      <w:pPr>
        <w:jc w:val="both"/>
      </w:pPr>
      <w:r w:rsidRPr="009F40D4">
        <w:rPr>
          <w:b/>
          <w:bCs/>
        </w:rPr>
        <w:t>8.</w:t>
      </w:r>
      <w:r w:rsidRPr="00145211">
        <w:t xml:space="preserve"> Dodatkowe informacje o konkursie Szczegółowy zakres konkursu, sposób przygotowania wniosku oraz warunki, jakie musi spełnić podmiot przystępujący do konkursu określa regulamin konkursu wraz załącznikami, zamieszczony na stronie podmiotowej Instytutu. </w:t>
      </w:r>
    </w:p>
    <w:p w14:paraId="582FE67C" w14:textId="43E9C8FF" w:rsidR="00145211" w:rsidRDefault="00145211" w:rsidP="00145211">
      <w:pPr>
        <w:jc w:val="both"/>
      </w:pPr>
      <w:r w:rsidRPr="009F40D4">
        <w:rPr>
          <w:b/>
          <w:bCs/>
        </w:rPr>
        <w:t>9.</w:t>
      </w:r>
      <w:r w:rsidRPr="00145211">
        <w:t xml:space="preserve"> Ogłoszenie rozstrzygnięcia konkursu nastąpi nie później niż do </w:t>
      </w:r>
      <w:r w:rsidR="00A229E7">
        <w:t xml:space="preserve">22 czerwca 2026 </w:t>
      </w:r>
      <w:r w:rsidRPr="00145211">
        <w:t xml:space="preserve">r.  </w:t>
      </w:r>
    </w:p>
    <w:p w14:paraId="3F8E1B26" w14:textId="77777777" w:rsidR="00145211" w:rsidRDefault="00145211" w:rsidP="00145211">
      <w:pPr>
        <w:jc w:val="both"/>
      </w:pPr>
    </w:p>
    <w:p w14:paraId="7458D143" w14:textId="696AC17F" w:rsidR="0046400E" w:rsidRDefault="00145211" w:rsidP="00145211">
      <w:pPr>
        <w:jc w:val="both"/>
      </w:pPr>
      <w:r w:rsidRPr="00145211">
        <w:t>Załącznik: Wzór wniosku wraz z załącznikami</w:t>
      </w:r>
    </w:p>
    <w:sectPr w:rsidR="004640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85FBF"/>
    <w:multiLevelType w:val="hybridMultilevel"/>
    <w:tmpl w:val="9A4E278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71657C0E"/>
    <w:multiLevelType w:val="hybridMultilevel"/>
    <w:tmpl w:val="ECEE0E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867697">
    <w:abstractNumId w:val="0"/>
  </w:num>
  <w:num w:numId="2" w16cid:durableId="568344331">
    <w:abstractNumId w:val="0"/>
  </w:num>
  <w:num w:numId="3" w16cid:durableId="85454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11"/>
    <w:rsid w:val="00145211"/>
    <w:rsid w:val="0029007D"/>
    <w:rsid w:val="00310AE8"/>
    <w:rsid w:val="00386172"/>
    <w:rsid w:val="0046400E"/>
    <w:rsid w:val="00961609"/>
    <w:rsid w:val="009F40D4"/>
    <w:rsid w:val="00A229E7"/>
    <w:rsid w:val="00AB7A11"/>
    <w:rsid w:val="00B71B31"/>
    <w:rsid w:val="00E02258"/>
    <w:rsid w:val="00EE57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1E95"/>
  <w15:chartTrackingRefBased/>
  <w15:docId w15:val="{311C1F41-1192-4375-AAEA-7BDFA93A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45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45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452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452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452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452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452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452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452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4521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4521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4521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4521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4521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452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452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452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45211"/>
    <w:rPr>
      <w:rFonts w:eastAsiaTheme="majorEastAsia" w:cstheme="majorBidi"/>
      <w:color w:val="272727" w:themeColor="text1" w:themeTint="D8"/>
    </w:rPr>
  </w:style>
  <w:style w:type="paragraph" w:styleId="Tytu">
    <w:name w:val="Title"/>
    <w:basedOn w:val="Normalny"/>
    <w:next w:val="Normalny"/>
    <w:link w:val="TytuZnak"/>
    <w:uiPriority w:val="10"/>
    <w:qFormat/>
    <w:rsid w:val="00145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452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452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452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45211"/>
    <w:pPr>
      <w:spacing w:before="160"/>
      <w:jc w:val="center"/>
    </w:pPr>
    <w:rPr>
      <w:i/>
      <w:iCs/>
      <w:color w:val="404040" w:themeColor="text1" w:themeTint="BF"/>
    </w:rPr>
  </w:style>
  <w:style w:type="character" w:customStyle="1" w:styleId="CytatZnak">
    <w:name w:val="Cytat Znak"/>
    <w:basedOn w:val="Domylnaczcionkaakapitu"/>
    <w:link w:val="Cytat"/>
    <w:uiPriority w:val="29"/>
    <w:rsid w:val="00145211"/>
    <w:rPr>
      <w:i/>
      <w:iCs/>
      <w:color w:val="404040" w:themeColor="text1" w:themeTint="BF"/>
    </w:rPr>
  </w:style>
  <w:style w:type="paragraph" w:styleId="Akapitzlist">
    <w:name w:val="List Paragraph"/>
    <w:basedOn w:val="Normalny"/>
    <w:uiPriority w:val="34"/>
    <w:qFormat/>
    <w:rsid w:val="00145211"/>
    <w:pPr>
      <w:ind w:left="720"/>
      <w:contextualSpacing/>
    </w:pPr>
  </w:style>
  <w:style w:type="character" w:styleId="Wyrnienieintensywne">
    <w:name w:val="Intense Emphasis"/>
    <w:basedOn w:val="Domylnaczcionkaakapitu"/>
    <w:uiPriority w:val="21"/>
    <w:qFormat/>
    <w:rsid w:val="00145211"/>
    <w:rPr>
      <w:i/>
      <w:iCs/>
      <w:color w:val="0F4761" w:themeColor="accent1" w:themeShade="BF"/>
    </w:rPr>
  </w:style>
  <w:style w:type="paragraph" w:styleId="Cytatintensywny">
    <w:name w:val="Intense Quote"/>
    <w:basedOn w:val="Normalny"/>
    <w:next w:val="Normalny"/>
    <w:link w:val="CytatintensywnyZnak"/>
    <w:uiPriority w:val="30"/>
    <w:qFormat/>
    <w:rsid w:val="00145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45211"/>
    <w:rPr>
      <w:i/>
      <w:iCs/>
      <w:color w:val="0F4761" w:themeColor="accent1" w:themeShade="BF"/>
    </w:rPr>
  </w:style>
  <w:style w:type="character" w:styleId="Odwoanieintensywne">
    <w:name w:val="Intense Reference"/>
    <w:basedOn w:val="Domylnaczcionkaakapitu"/>
    <w:uiPriority w:val="32"/>
    <w:qFormat/>
    <w:rsid w:val="00145211"/>
    <w:rPr>
      <w:b/>
      <w:bCs/>
      <w:smallCaps/>
      <w:color w:val="0F4761" w:themeColor="accent1" w:themeShade="BF"/>
      <w:spacing w:val="5"/>
    </w:rPr>
  </w:style>
  <w:style w:type="character" w:styleId="Hipercze">
    <w:name w:val="Hyperlink"/>
    <w:basedOn w:val="Domylnaczcionkaakapitu"/>
    <w:uiPriority w:val="99"/>
    <w:unhideWhenUsed/>
    <w:rsid w:val="00145211"/>
    <w:rPr>
      <w:color w:val="467886" w:themeColor="hyperlink"/>
      <w:u w:val="single"/>
    </w:rPr>
  </w:style>
  <w:style w:type="character" w:styleId="Nierozpoznanawzmianka">
    <w:name w:val="Unresolved Mention"/>
    <w:basedOn w:val="Domylnaczcionkaakapitu"/>
    <w:uiPriority w:val="99"/>
    <w:semiHidden/>
    <w:unhideWhenUsed/>
    <w:rsid w:val="00145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nioski@kurier.plu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783</Words>
  <Characters>4699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Zalewska</dc:creator>
  <cp:keywords/>
  <dc:description/>
  <cp:lastModifiedBy>Karina Zalewska</cp:lastModifiedBy>
  <cp:revision>4</cp:revision>
  <dcterms:created xsi:type="dcterms:W3CDTF">2026-04-27T06:58:00Z</dcterms:created>
  <dcterms:modified xsi:type="dcterms:W3CDTF">2026-04-29T12:24:00Z</dcterms:modified>
</cp:coreProperties>
</file>